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4E" w:rsidRPr="00264176" w:rsidRDefault="0013174E" w:rsidP="0013174E">
      <w:pPr>
        <w:pStyle w:val="aa"/>
        <w:ind w:right="46"/>
        <w:rPr>
          <w:b/>
          <w:color w:val="000000"/>
          <w:szCs w:val="24"/>
        </w:rPr>
      </w:pPr>
      <w:r w:rsidRPr="00264176">
        <w:rPr>
          <w:b/>
          <w:color w:val="000000"/>
          <w:szCs w:val="24"/>
        </w:rPr>
        <w:t>Извещение о проведении электронного аукциона</w:t>
      </w:r>
    </w:p>
    <w:p w:rsidR="0013174E" w:rsidRPr="00264176" w:rsidRDefault="0013174E" w:rsidP="0013174E">
      <w:pPr>
        <w:pStyle w:val="aa"/>
        <w:ind w:right="46"/>
        <w:rPr>
          <w:b/>
          <w:color w:val="000000"/>
          <w:szCs w:val="24"/>
        </w:rPr>
      </w:pPr>
      <w:r w:rsidRPr="00264176">
        <w:rPr>
          <w:b/>
          <w:color w:val="000000"/>
          <w:szCs w:val="24"/>
        </w:rPr>
        <w:t>на право заключения договоров аренды земельных участков</w:t>
      </w:r>
    </w:p>
    <w:p w:rsidR="0013174E" w:rsidRPr="00264176" w:rsidRDefault="0013174E" w:rsidP="0013174E">
      <w:pPr>
        <w:pStyle w:val="aa"/>
        <w:ind w:right="46"/>
        <w:jc w:val="both"/>
        <w:rPr>
          <w:b/>
          <w:color w:val="000000"/>
          <w:sz w:val="22"/>
        </w:rPr>
      </w:pPr>
    </w:p>
    <w:p w:rsidR="0013174E" w:rsidRPr="00264176" w:rsidRDefault="0013174E" w:rsidP="0013174E">
      <w:pPr>
        <w:pStyle w:val="1"/>
        <w:shd w:val="clear" w:color="auto" w:fill="FFFFFF"/>
        <w:spacing w:after="144" w:line="242" w:lineRule="atLeast"/>
        <w:ind w:left="0" w:firstLine="708"/>
        <w:rPr>
          <w:sz w:val="28"/>
          <w:szCs w:val="28"/>
        </w:rPr>
      </w:pPr>
      <w:r w:rsidRPr="00264176">
        <w:rPr>
          <w:rFonts w:eastAsia="Calibri"/>
          <w:b w:val="0"/>
          <w:sz w:val="28"/>
          <w:szCs w:val="28"/>
          <w:lang w:eastAsia="en-US"/>
        </w:rPr>
        <w:t>Администрация Питерского муниципального района Саратовской области в соответствии со ст.39.11, ст. 39.12, ст.39.13 Земельного кодекса Российской Федерации от 25.10.2001 г.,</w:t>
      </w:r>
      <w:r w:rsidRPr="00264176">
        <w:rPr>
          <w:b w:val="0"/>
          <w:sz w:val="28"/>
          <w:szCs w:val="28"/>
        </w:rPr>
        <w:t xml:space="preserve"> Федеральным законом от 25 ноября 2001 года № 137-ФЗ «О введении в действие Земельного кодекса Российской Федерации», </w:t>
      </w:r>
      <w:r w:rsidRPr="00264176">
        <w:rPr>
          <w:b w:val="0"/>
          <w:color w:val="000000"/>
          <w:sz w:val="28"/>
          <w:szCs w:val="28"/>
        </w:rPr>
        <w:t>Федеральным законом от 26.07.2006 № 135-ФЗ "О защите конкуренции",</w:t>
      </w:r>
      <w:r w:rsidRPr="00264176">
        <w:rPr>
          <w:b w:val="0"/>
          <w:color w:val="333333"/>
          <w:sz w:val="28"/>
          <w:szCs w:val="28"/>
        </w:rPr>
        <w:t xml:space="preserve"> </w:t>
      </w:r>
      <w:r w:rsidRPr="00264176">
        <w:rPr>
          <w:b w:val="0"/>
          <w:sz w:val="28"/>
          <w:szCs w:val="28"/>
        </w:rPr>
        <w:t>руководствуяс</w:t>
      </w:r>
      <w:r w:rsidRPr="00264176">
        <w:rPr>
          <w:b w:val="0"/>
          <w:color w:val="333333"/>
          <w:sz w:val="28"/>
          <w:szCs w:val="28"/>
        </w:rPr>
        <w:t xml:space="preserve">ь </w:t>
      </w:r>
      <w:r w:rsidRPr="00264176">
        <w:rPr>
          <w:b w:val="0"/>
          <w:sz w:val="28"/>
          <w:szCs w:val="28"/>
        </w:rPr>
        <w:t xml:space="preserve">Уставом Питерского муниципального района, </w:t>
      </w:r>
      <w:r w:rsidRPr="00264176">
        <w:rPr>
          <w:b w:val="0"/>
          <w:color w:val="000000"/>
          <w:sz w:val="28"/>
          <w:szCs w:val="28"/>
        </w:rPr>
        <w:t xml:space="preserve">распоряжением администрации Питерского муниципального района Саратовской области от </w:t>
      </w:r>
      <w:r w:rsidR="00CC4FAE">
        <w:rPr>
          <w:b w:val="0"/>
          <w:color w:val="000000"/>
          <w:sz w:val="28"/>
          <w:szCs w:val="28"/>
          <w:lang w:val="ru-RU"/>
        </w:rPr>
        <w:t xml:space="preserve">10 марта </w:t>
      </w:r>
      <w:r w:rsidRPr="00264176">
        <w:rPr>
          <w:b w:val="0"/>
          <w:color w:val="000000"/>
          <w:sz w:val="28"/>
          <w:szCs w:val="28"/>
        </w:rPr>
        <w:t>2023 г</w:t>
      </w:r>
      <w:r w:rsidR="00CC4FAE">
        <w:rPr>
          <w:b w:val="0"/>
          <w:color w:val="000000"/>
          <w:sz w:val="28"/>
          <w:szCs w:val="28"/>
          <w:lang w:val="ru-RU"/>
        </w:rPr>
        <w:t>ода</w:t>
      </w:r>
      <w:r w:rsidRPr="00264176">
        <w:rPr>
          <w:b w:val="0"/>
          <w:color w:val="000000"/>
          <w:sz w:val="28"/>
          <w:szCs w:val="28"/>
        </w:rPr>
        <w:t xml:space="preserve"> № </w:t>
      </w:r>
      <w:r w:rsidR="00CC4FAE">
        <w:rPr>
          <w:b w:val="0"/>
          <w:color w:val="000000"/>
          <w:sz w:val="28"/>
          <w:szCs w:val="28"/>
          <w:lang w:val="ru-RU"/>
        </w:rPr>
        <w:t>26-р</w:t>
      </w:r>
      <w:r w:rsidRPr="00264176">
        <w:rPr>
          <w:b w:val="0"/>
          <w:color w:val="000000"/>
          <w:sz w:val="28"/>
          <w:szCs w:val="28"/>
        </w:rPr>
        <w:t xml:space="preserve"> «О проведении электронного аукциона на право заключения договоров аренды земельных участков»,</w:t>
      </w:r>
      <w:r w:rsidRPr="00264176">
        <w:rPr>
          <w:b w:val="0"/>
          <w:sz w:val="28"/>
          <w:szCs w:val="28"/>
        </w:rPr>
        <w:t xml:space="preserve"> объявляет о проведении электронного аукциона на право заключения договоров аренды земельных участков </w:t>
      </w:r>
      <w:r w:rsidRPr="00264176">
        <w:rPr>
          <w:color w:val="000000"/>
          <w:sz w:val="28"/>
          <w:szCs w:val="28"/>
          <w:u w:val="single"/>
        </w:rPr>
        <w:t>24.04.2023</w:t>
      </w:r>
      <w:r w:rsidRPr="00264176">
        <w:rPr>
          <w:color w:val="000000"/>
          <w:sz w:val="28"/>
          <w:szCs w:val="28"/>
        </w:rPr>
        <w:t xml:space="preserve"> </w:t>
      </w:r>
      <w:r w:rsidRPr="00264176">
        <w:rPr>
          <w:color w:val="000000"/>
          <w:sz w:val="28"/>
          <w:szCs w:val="28"/>
          <w:u w:val="single"/>
        </w:rPr>
        <w:t>года: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536"/>
      </w:tblGrid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Организатор аукциона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Администрация Питерского муниципального района Саратовской области.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Уполномоченный орган, реквизиты решения о проведении аукциона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Администрация Питерского муниципального района Саратовской области.</w:t>
            </w:r>
          </w:p>
          <w:p w:rsidR="0013174E" w:rsidRPr="00264176" w:rsidRDefault="0013174E" w:rsidP="00CC4FAE">
            <w:pPr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64176">
              <w:rPr>
                <w:rFonts w:ascii="Times New Roman" w:hAnsi="Times New Roman"/>
                <w:color w:val="000000"/>
              </w:rPr>
              <w:t xml:space="preserve">Распоряжение администрации Питерского муниципального района от </w:t>
            </w:r>
            <w:r w:rsidR="00CC4FAE">
              <w:rPr>
                <w:rFonts w:ascii="Times New Roman" w:hAnsi="Times New Roman"/>
                <w:color w:val="000000"/>
              </w:rPr>
              <w:t xml:space="preserve">10 марта </w:t>
            </w:r>
            <w:r w:rsidRPr="00264176">
              <w:rPr>
                <w:rFonts w:ascii="Times New Roman" w:hAnsi="Times New Roman"/>
                <w:color w:val="000000"/>
              </w:rPr>
              <w:t xml:space="preserve">2023 года № </w:t>
            </w:r>
            <w:r w:rsidR="00CC4FAE">
              <w:rPr>
                <w:rFonts w:ascii="Times New Roman" w:hAnsi="Times New Roman"/>
                <w:color w:val="000000"/>
              </w:rPr>
              <w:t>26-р</w:t>
            </w:r>
            <w:r w:rsidRPr="0026417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Место, дата, время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pStyle w:val="a3"/>
            </w:pPr>
            <w:r w:rsidRPr="00264176">
              <w:rPr>
                <w:rFonts w:ascii="Times New Roman" w:hAnsi="Times New Roman"/>
              </w:rPr>
              <w:t>24 апреля 2023 г. в 10 часов 00 минут (по московскому времени) на электронной площадке Сбербанк-АСТ</w:t>
            </w:r>
            <w:r w:rsidRPr="00264176">
              <w:t xml:space="preserve"> (</w:t>
            </w:r>
            <w:hyperlink r:id="rId5" w:history="1">
              <w:r w:rsidRPr="00264176">
                <w:rPr>
                  <w:rStyle w:val="a5"/>
                  <w:rFonts w:ascii="Times New Roman" w:hAnsi="Times New Roman"/>
                </w:rPr>
                <w:t>http://www.sberbank-ast.ru</w:t>
              </w:r>
            </w:hyperlink>
            <w:r w:rsidRPr="00264176">
              <w:t>).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</w:p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1</w:t>
            </w:r>
            <w:r w:rsidRPr="00264176">
              <w:rPr>
                <w:rFonts w:ascii="Times New Roman" w:hAnsi="Times New Roman"/>
                <w:color w:val="000000"/>
              </w:rPr>
              <w:t xml:space="preserve"> земельный участок из земель, государственная собственность на которые не разграничена, категория земель населенных пунктов, вид разрешенного использования: </w:t>
            </w:r>
            <w:r w:rsidRPr="00264176">
              <w:rPr>
                <w:rFonts w:ascii="Times New Roman" w:hAnsi="Times New Roman"/>
                <w:color w:val="000000"/>
                <w:shd w:val="clear" w:color="auto" w:fill="FFFFFF"/>
              </w:rPr>
              <w:t>хранение и переработка сельскохозяйственной продукции</w:t>
            </w:r>
            <w:r w:rsidRPr="00264176">
              <w:rPr>
                <w:rFonts w:ascii="Times New Roman" w:hAnsi="Times New Roman"/>
                <w:color w:val="000000"/>
              </w:rPr>
              <w:t xml:space="preserve">, с кадастровым номером </w:t>
            </w:r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>64:26:100603:214</w:t>
            </w:r>
            <w:r w:rsidRPr="00264176">
              <w:rPr>
                <w:rFonts w:ascii="Times New Roman" w:hAnsi="Times New Roman"/>
                <w:color w:val="000000"/>
              </w:rPr>
              <w:t xml:space="preserve">, общей площадью 1800 </w:t>
            </w:r>
            <w:proofErr w:type="spellStart"/>
            <w:r w:rsidRPr="00264176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264176">
              <w:rPr>
                <w:rFonts w:ascii="Times New Roman" w:hAnsi="Times New Roman"/>
                <w:color w:val="000000"/>
              </w:rPr>
              <w:t xml:space="preserve">., расположенный по адресу: </w:t>
            </w:r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>Саратовская область, Питерский район, ж/д ст. Питерка, ул. Школьная, д. 28Б</w:t>
            </w:r>
            <w:r w:rsidRPr="0026417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13174E" w:rsidRPr="00264176" w:rsidRDefault="0013174E" w:rsidP="006A48B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Земельный участок не имеет ограничений прав.</w:t>
            </w:r>
          </w:p>
          <w:p w:rsidR="0013174E" w:rsidRPr="00264176" w:rsidRDefault="0013174E" w:rsidP="006A48B5">
            <w:pPr>
              <w:pStyle w:val="a3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2</w:t>
            </w:r>
            <w:r w:rsidRPr="00264176">
              <w:rPr>
                <w:rFonts w:ascii="Times New Roman" w:hAnsi="Times New Roman"/>
                <w:color w:val="000000"/>
              </w:rPr>
              <w:t xml:space="preserve"> земельный участок из земель, государственная собственность на которые не разграничена, категория земель населенных пунктов, вид разрешенного использования: </w:t>
            </w:r>
            <w:r w:rsidRPr="00264176">
              <w:rPr>
                <w:rFonts w:ascii="Times New Roman" w:hAnsi="Times New Roman"/>
                <w:color w:val="000000"/>
                <w:shd w:val="clear" w:color="auto" w:fill="FFFFFF"/>
              </w:rPr>
              <w:t>хранение и переработка сельскохозяйственной продукции</w:t>
            </w:r>
            <w:r w:rsidRPr="00264176">
              <w:rPr>
                <w:rFonts w:ascii="Times New Roman" w:hAnsi="Times New Roman"/>
                <w:color w:val="000000"/>
              </w:rPr>
              <w:t xml:space="preserve">, с кадастровым номером </w:t>
            </w:r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>64:26:130402:215</w:t>
            </w:r>
            <w:r w:rsidRPr="00264176">
              <w:rPr>
                <w:rFonts w:ascii="Times New Roman" w:hAnsi="Times New Roman"/>
                <w:color w:val="000000"/>
              </w:rPr>
              <w:t xml:space="preserve">, общей площадью 5000 </w:t>
            </w:r>
            <w:proofErr w:type="spellStart"/>
            <w:r w:rsidRPr="00264176">
              <w:rPr>
                <w:rFonts w:ascii="Times New Roman" w:hAnsi="Times New Roman"/>
                <w:color w:val="000000"/>
              </w:rPr>
              <w:t>кв.м</w:t>
            </w:r>
            <w:proofErr w:type="spellEnd"/>
            <w:r w:rsidRPr="00264176">
              <w:rPr>
                <w:rFonts w:ascii="Times New Roman" w:hAnsi="Times New Roman"/>
                <w:color w:val="000000"/>
              </w:rPr>
              <w:t xml:space="preserve">., расположенного по адресу: </w:t>
            </w:r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Саратовская область, Питерский район, территория </w:t>
            </w:r>
            <w:proofErr w:type="spellStart"/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>Нивское</w:t>
            </w:r>
            <w:proofErr w:type="spellEnd"/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муниципальное образование, х. </w:t>
            </w:r>
            <w:proofErr w:type="spellStart"/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>Шлягин</w:t>
            </w:r>
            <w:proofErr w:type="spellEnd"/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, </w:t>
            </w:r>
            <w:proofErr w:type="spellStart"/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>уч</w:t>
            </w:r>
            <w:proofErr w:type="spellEnd"/>
            <w:r w:rsidRPr="00264176">
              <w:rPr>
                <w:rFonts w:ascii="Times New Roman" w:hAnsi="Times New Roman"/>
                <w:color w:val="000000"/>
                <w:shd w:val="clear" w:color="auto" w:fill="F8F9FA"/>
              </w:rPr>
              <w:t xml:space="preserve"> 2</w:t>
            </w:r>
            <w:r w:rsidRPr="00264176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13174E" w:rsidRPr="00264176" w:rsidRDefault="0013174E" w:rsidP="006A48B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noProof/>
              </w:rPr>
            </w:pPr>
            <w:r w:rsidRPr="00264176">
              <w:rPr>
                <w:rFonts w:ascii="Times New Roman" w:hAnsi="Times New Roman"/>
              </w:rPr>
              <w:t>Земельный участок имеет ограничения прав в соответствии со ст. 56 Земельного кодекса Российской Федерации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  <w:bCs/>
              </w:rPr>
              <w:t>Начальная цена ежегодного размера арендной платы за земельные участки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1</w:t>
            </w:r>
            <w:r w:rsidRPr="00264176">
              <w:rPr>
                <w:rFonts w:ascii="Times New Roman" w:hAnsi="Times New Roman"/>
                <w:color w:val="000000"/>
              </w:rPr>
              <w:t xml:space="preserve"> 32502 (тридцать две тысячи пятьсот два) рубля 60 копеек;</w:t>
            </w:r>
          </w:p>
          <w:p w:rsidR="0013174E" w:rsidRPr="00264176" w:rsidRDefault="0013174E" w:rsidP="006A48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2</w:t>
            </w:r>
            <w:r w:rsidRPr="00264176">
              <w:rPr>
                <w:rFonts w:ascii="Times New Roman" w:hAnsi="Times New Roman"/>
                <w:color w:val="000000"/>
              </w:rPr>
              <w:t xml:space="preserve"> 86800 (восемьдесят шесть тысяч восемьсот) рублей 00 копеек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Шаг аукциона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tabs>
                <w:tab w:val="num" w:pos="1605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3% от начальной цены ежегодной арендной платы:</w:t>
            </w:r>
          </w:p>
          <w:p w:rsidR="0013174E" w:rsidRPr="00264176" w:rsidRDefault="0013174E" w:rsidP="006A48B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color w:val="000000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lastRenderedPageBreak/>
              <w:t>Лот № 1</w:t>
            </w:r>
            <w:r w:rsidRPr="00264176">
              <w:rPr>
                <w:rFonts w:ascii="Times New Roman" w:hAnsi="Times New Roman"/>
                <w:color w:val="000000"/>
              </w:rPr>
              <w:t xml:space="preserve"> 975 (девятьсот семьдесят пять) рублей 08 копеек;</w:t>
            </w:r>
          </w:p>
          <w:p w:rsidR="0013174E" w:rsidRPr="00264176" w:rsidRDefault="0013174E" w:rsidP="006A48B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2</w:t>
            </w:r>
            <w:r w:rsidRPr="00264176">
              <w:rPr>
                <w:rFonts w:ascii="Times New Roman" w:hAnsi="Times New Roman"/>
                <w:color w:val="000000"/>
              </w:rPr>
              <w:t xml:space="preserve"> 2604 (две тысячи шестьсот четыре) рубля 00 копеек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lastRenderedPageBreak/>
              <w:t>Порядок, место, дата и время начала и окончания приема заявок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Заявка на участие</w:t>
            </w:r>
            <w:r w:rsidRPr="00264176">
              <w:rPr>
                <w:rFonts w:ascii="Times New Roman" w:hAnsi="Times New Roman"/>
                <w:b/>
              </w:rPr>
              <w:t xml:space="preserve"> </w:t>
            </w:r>
            <w:r w:rsidRPr="00264176">
              <w:rPr>
                <w:rFonts w:ascii="Times New Roman" w:hAnsi="Times New Roman"/>
              </w:rPr>
              <w:t>в аукционе предоставляется претендентом или его полномочным представителем в электронном виде на электронной площадке Сбербанк-АСТ (</w:t>
            </w:r>
            <w:hyperlink r:id="rId6" w:history="1">
              <w:r w:rsidRPr="00264176">
                <w:rPr>
                  <w:rStyle w:val="a5"/>
                  <w:rFonts w:ascii="Times New Roman" w:hAnsi="Times New Roman"/>
                </w:rPr>
                <w:t>http://www.sberbank-ast.ru</w:t>
              </w:r>
            </w:hyperlink>
            <w:r w:rsidRPr="00264176">
              <w:rPr>
                <w:rFonts w:ascii="Times New Roman" w:hAnsi="Times New Roman"/>
              </w:rPr>
              <w:t>). Одно лицо имеет право подать только одну заявку.</w:t>
            </w:r>
          </w:p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Заявки принимаются с 09.00 часов 20 марта 2023 года до 16.00 часов 18 апреля 2023 года (по московскому времени).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  <w:bCs/>
              </w:rPr>
              <w:t>Размер задатка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tabs>
                <w:tab w:val="left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100% начальной ежегодной арендной платы:</w:t>
            </w:r>
          </w:p>
          <w:p w:rsidR="0013174E" w:rsidRPr="00264176" w:rsidRDefault="0013174E" w:rsidP="006A48B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1</w:t>
            </w:r>
            <w:r w:rsidRPr="00264176">
              <w:rPr>
                <w:rFonts w:ascii="Times New Roman" w:hAnsi="Times New Roman"/>
                <w:color w:val="000000"/>
              </w:rPr>
              <w:t xml:space="preserve"> 32502 (тридцать две тысячи пятьсот два) рубля, 60 копеек;</w:t>
            </w:r>
          </w:p>
          <w:p w:rsidR="0013174E" w:rsidRPr="00264176" w:rsidRDefault="0013174E" w:rsidP="006A48B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  <w:b/>
                <w:color w:val="000000"/>
              </w:rPr>
              <w:t>Лот № 2</w:t>
            </w:r>
            <w:r w:rsidRPr="00264176">
              <w:rPr>
                <w:rFonts w:ascii="Times New Roman" w:hAnsi="Times New Roman"/>
                <w:color w:val="000000"/>
              </w:rPr>
              <w:t xml:space="preserve"> 86800 (восемьдесят шесть тысяч восемьсот) рублей, 00 копеек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  <w:bCs/>
              </w:rPr>
              <w:t>Порядок внесения задатка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  <w:color w:val="FF0000"/>
              </w:rPr>
            </w:pPr>
            <w:r w:rsidRPr="00264176">
              <w:rPr>
                <w:rFonts w:ascii="Times New Roman" w:hAnsi="Times New Roman"/>
                <w:bCs/>
              </w:rPr>
              <w:t xml:space="preserve">Задаток перечисляется </w:t>
            </w:r>
            <w:r w:rsidRPr="00264176">
              <w:rPr>
                <w:rFonts w:ascii="Times New Roman" w:hAnsi="Times New Roman"/>
                <w:b/>
                <w:bCs/>
              </w:rPr>
              <w:t>с 09.00 часов 20 марта</w:t>
            </w:r>
            <w:r w:rsidRPr="00264176">
              <w:rPr>
                <w:rFonts w:ascii="Times New Roman" w:hAnsi="Times New Roman"/>
                <w:b/>
              </w:rPr>
              <w:t xml:space="preserve"> 2023 года до 16.00 часов 18 апреля 2023 года (по московскому времени).</w:t>
            </w:r>
          </w:p>
          <w:p w:rsidR="0013174E" w:rsidRPr="00264176" w:rsidRDefault="0013174E" w:rsidP="006A48B5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13174E" w:rsidRPr="00264176" w:rsidRDefault="0013174E" w:rsidP="006A48B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Заключение договоров о задатке на бумажном носителе не требуется.</w:t>
            </w:r>
          </w:p>
          <w:p w:rsidR="0013174E" w:rsidRPr="00264176" w:rsidRDefault="0013174E" w:rsidP="006A48B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eastAsia="Calibri" w:hAnsi="Times New Roman"/>
                <w:bCs/>
              </w:rPr>
              <w:t>Платежи по перечислению задатка для участия в аукционе и порядок возврата задатка осуществляются в соответствии с Регламентом электронной площадки.</w:t>
            </w:r>
          </w:p>
          <w:p w:rsidR="0013174E" w:rsidRPr="00264176" w:rsidRDefault="0013174E" w:rsidP="006A48B5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Задатки возвращаются в сроки, установленные ст. 39.12. ЗК РФ.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Реквизиты счета для перечисления задатка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Задаток вносится единым платежом на счет оператора электронной площадки Сбербанк-АСТ (</w:t>
            </w:r>
            <w:hyperlink r:id="rId7" w:history="1">
              <w:r w:rsidRPr="00264176">
                <w:rPr>
                  <w:rStyle w:val="a5"/>
                  <w:rFonts w:ascii="Times New Roman" w:hAnsi="Times New Roman"/>
                </w:rPr>
                <w:t>http://www.sberbank-ast.ru</w:t>
              </w:r>
            </w:hyperlink>
            <w:r w:rsidRPr="00264176">
              <w:rPr>
                <w:rFonts w:ascii="Times New Roman" w:hAnsi="Times New Roman"/>
              </w:rPr>
              <w:t>).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Срок аренды земельного участка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Лот № 1</w:t>
            </w:r>
            <w:r w:rsidRPr="00264176">
              <w:rPr>
                <w:rFonts w:ascii="Times New Roman" w:hAnsi="Times New Roman"/>
              </w:rPr>
              <w:t xml:space="preserve"> 10 лет</w:t>
            </w:r>
          </w:p>
          <w:p w:rsidR="0013174E" w:rsidRPr="00264176" w:rsidRDefault="0013174E" w:rsidP="006A48B5">
            <w:pPr>
              <w:tabs>
                <w:tab w:val="num" w:pos="993"/>
              </w:tabs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  <w:b/>
              </w:rPr>
              <w:t>Лот № 2</w:t>
            </w:r>
            <w:r w:rsidRPr="00264176">
              <w:rPr>
                <w:rFonts w:ascii="Times New Roman" w:hAnsi="Times New Roman"/>
              </w:rPr>
              <w:t xml:space="preserve"> 10 лет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autoSpaceDE w:val="0"/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13174E" w:rsidRPr="00264176" w:rsidRDefault="0013174E" w:rsidP="006A48B5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0" w:name="sub_391211"/>
            <w:r w:rsidRPr="00264176">
              <w:rPr>
                <w:rFonts w:ascii="Times New Roman" w:hAnsi="Times New Roman"/>
              </w:rPr>
              <w:t>1) Заявка на участие в аукционе.</w:t>
            </w:r>
          </w:p>
          <w:p w:rsidR="0013174E" w:rsidRPr="00264176" w:rsidRDefault="0013174E" w:rsidP="006A48B5">
            <w:pPr>
              <w:pStyle w:val="a3"/>
              <w:rPr>
                <w:rFonts w:ascii="Times New Roman" w:hAnsi="Times New Roman"/>
              </w:rPr>
            </w:pPr>
            <w:bookmarkStart w:id="1" w:name="sub_391212"/>
            <w:bookmarkEnd w:id="0"/>
            <w:r w:rsidRPr="00264176">
              <w:rPr>
                <w:rFonts w:ascii="Times New Roman" w:hAnsi="Times New Roman"/>
              </w:rPr>
              <w:t xml:space="preserve">              2) Копии документов, удостоверяющих личность заявителя (для граждан).</w:t>
            </w:r>
          </w:p>
          <w:p w:rsidR="0013174E" w:rsidRPr="00264176" w:rsidRDefault="0013174E" w:rsidP="006A48B5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2" w:name="sub_3912130"/>
            <w:bookmarkEnd w:id="1"/>
            <w:r w:rsidRPr="00264176">
              <w:rPr>
                <w:rFonts w:ascii="Times New Roman" w:hAnsi="Times New Roman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13174E" w:rsidRPr="00264176" w:rsidRDefault="0013174E" w:rsidP="006A48B5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4) </w:t>
            </w:r>
            <w:bookmarkStart w:id="3" w:name="sub_161003"/>
            <w:r w:rsidRPr="00264176">
              <w:rPr>
                <w:rFonts w:ascii="Times New Roman" w:hAnsi="Times New Roman"/>
              </w:rPr>
              <w:t>Заверенные копии учредительных документов (для юридических лиц).</w:t>
            </w:r>
          </w:p>
          <w:p w:rsidR="0013174E" w:rsidRPr="00264176" w:rsidRDefault="0013174E" w:rsidP="006A48B5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bookmarkStart w:id="4" w:name="sub_161004"/>
            <w:bookmarkEnd w:id="3"/>
            <w:r w:rsidRPr="00264176">
              <w:rPr>
                <w:rFonts w:ascii="Times New Roman" w:hAnsi="Times New Roman"/>
              </w:rPr>
              <w:lastRenderedPageBreak/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4"/>
          <w:p w:rsidR="0013174E" w:rsidRPr="00264176" w:rsidRDefault="0013174E" w:rsidP="006A48B5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13174E" w:rsidRPr="00264176" w:rsidRDefault="0013174E" w:rsidP="006A48B5">
            <w:pPr>
              <w:autoSpaceDE w:val="0"/>
              <w:spacing w:after="0" w:line="0" w:lineRule="atLeast"/>
              <w:ind w:firstLine="720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7) </w:t>
            </w:r>
            <w:proofErr w:type="gramStart"/>
            <w:r w:rsidRPr="00264176">
              <w:rPr>
                <w:rFonts w:ascii="Times New Roman" w:hAnsi="Times New Roman"/>
              </w:rPr>
              <w:t>В</w:t>
            </w:r>
            <w:proofErr w:type="gramEnd"/>
            <w:r w:rsidRPr="00264176">
              <w:rPr>
                <w:rFonts w:ascii="Times New Roman" w:hAnsi="Times New Roman"/>
              </w:rPr>
      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2"/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lastRenderedPageBreak/>
              <w:t xml:space="preserve">Срок заключения договора аренды 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  <w:color w:val="000000"/>
              </w:rPr>
              <w:t>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ранее, чем через десять дней со дня размещения информации о результатах аукциона на официальном сайте</w:t>
            </w:r>
            <w:r w:rsidRPr="00264176">
              <w:rPr>
                <w:rFonts w:ascii="Times New Roman" w:hAnsi="Times New Roman"/>
              </w:rPr>
              <w:t xml:space="preserve"> </w:t>
            </w:r>
            <w:r w:rsidRPr="00264176">
              <w:rPr>
                <w:rFonts w:ascii="Times New Roman" w:hAnsi="Times New Roman"/>
                <w:noProof/>
              </w:rPr>
              <w:t>(</w:t>
            </w:r>
            <w:hyperlink r:id="rId8" w:history="1">
              <w:r w:rsidRPr="00264176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264176">
                <w:rPr>
                  <w:rStyle w:val="a5"/>
                  <w:rFonts w:ascii="Times New Roman" w:hAnsi="Times New Roman"/>
                </w:rPr>
                <w:t>://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www</w:t>
              </w:r>
              <w:r w:rsidRPr="00264176">
                <w:rPr>
                  <w:rStyle w:val="a5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new</w:t>
              </w:r>
              <w:r w:rsidRPr="00264176">
                <w:rPr>
                  <w:rStyle w:val="a5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torgi</w:t>
              </w:r>
              <w:r w:rsidRPr="00264176">
                <w:rPr>
                  <w:rStyle w:val="a5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gov</w:t>
              </w:r>
              <w:r w:rsidRPr="00264176">
                <w:rPr>
                  <w:rStyle w:val="a5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ru</w:t>
              </w:r>
            </w:hyperlink>
            <w:r w:rsidRPr="00264176">
              <w:rPr>
                <w:rFonts w:ascii="Times New Roman" w:hAnsi="Times New Roman"/>
                <w:noProof/>
              </w:rPr>
              <w:t>)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договоров аренды в администрации Питерского муниципального района по адресу: Саратовская область, Питерский район, с. Питерка, ул. Ленина, д. 103, кабинет отдела по земельно-правовым и имущественным отношениям администрации Питерского муниципального района. Так же с условиями договора аренды можно ознакомиться на сайте </w:t>
            </w:r>
            <w:r w:rsidRPr="00264176">
              <w:rPr>
                <w:rFonts w:ascii="Times New Roman" w:eastAsia="Calibri" w:hAnsi="Times New Roman"/>
                <w:color w:val="000000"/>
                <w:lang w:val="en-US" w:eastAsia="en-US"/>
              </w:rPr>
              <w:t>http</w:t>
            </w:r>
            <w:r w:rsidRPr="00264176">
              <w:rPr>
                <w:rFonts w:ascii="Times New Roman" w:eastAsia="Calibri" w:hAnsi="Times New Roman"/>
                <w:color w:val="000000"/>
                <w:lang w:eastAsia="en-US"/>
              </w:rPr>
              <w:t>//</w:t>
            </w:r>
            <w:proofErr w:type="spellStart"/>
            <w:r w:rsidRPr="00264176">
              <w:rPr>
                <w:rFonts w:ascii="Times New Roman" w:eastAsia="Calibri" w:hAnsi="Times New Roman"/>
                <w:color w:val="000000"/>
                <w:lang w:eastAsia="en-US"/>
              </w:rPr>
              <w:t>питерка.рф</w:t>
            </w:r>
            <w:proofErr w:type="spellEnd"/>
            <w:r w:rsidRPr="00264176">
              <w:rPr>
                <w:rFonts w:ascii="Times New Roman" w:eastAsia="Calibri" w:hAnsi="Times New Roman"/>
                <w:color w:val="000000"/>
                <w:lang w:eastAsia="en-US"/>
              </w:rPr>
              <w:t>.</w:t>
            </w:r>
            <w:r w:rsidRPr="00264176">
              <w:rPr>
                <w:rFonts w:ascii="Times New Roman" w:hAnsi="Times New Roman"/>
              </w:rPr>
              <w:t xml:space="preserve"> и </w:t>
            </w:r>
            <w:r w:rsidRPr="00264176">
              <w:rPr>
                <w:rFonts w:ascii="Times New Roman" w:hAnsi="Times New Roman"/>
                <w:noProof/>
              </w:rPr>
              <w:t xml:space="preserve">на </w:t>
            </w:r>
            <w:r w:rsidRPr="00264176">
              <w:rPr>
                <w:rFonts w:ascii="Times New Roman" w:hAnsi="Times New Roman"/>
              </w:rPr>
              <w:lastRenderedPageBreak/>
              <w:t xml:space="preserve">официальном сайте </w:t>
            </w:r>
            <w:r w:rsidRPr="00264176">
              <w:rPr>
                <w:rFonts w:ascii="Times New Roman" w:hAnsi="Times New Roman"/>
                <w:noProof/>
              </w:rPr>
              <w:t>Российской Федерации для размещения информации о проведении торгов (</w:t>
            </w:r>
            <w:hyperlink r:id="rId9" w:history="1">
              <w:r w:rsidRPr="00264176">
                <w:rPr>
                  <w:rStyle w:val="a5"/>
                  <w:rFonts w:ascii="Times New Roman" w:hAnsi="Times New Roman"/>
                  <w:lang w:val="en-US"/>
                </w:rPr>
                <w:t>http</w:t>
              </w:r>
              <w:r w:rsidRPr="00264176">
                <w:rPr>
                  <w:rStyle w:val="a5"/>
                  <w:rFonts w:ascii="Times New Roman" w:hAnsi="Times New Roman"/>
                </w:rPr>
                <w:t>://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www</w:t>
              </w:r>
              <w:r w:rsidRPr="00264176">
                <w:rPr>
                  <w:rStyle w:val="a5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new</w:t>
              </w:r>
              <w:r w:rsidRPr="00264176">
                <w:rPr>
                  <w:rStyle w:val="a5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torgi</w:t>
              </w:r>
              <w:r w:rsidRPr="00264176">
                <w:rPr>
                  <w:rStyle w:val="a5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gov</w:t>
              </w:r>
              <w:r w:rsidRPr="00264176">
                <w:rPr>
                  <w:rStyle w:val="a5"/>
                  <w:rFonts w:ascii="Times New Roman" w:hAnsi="Times New Roman"/>
                  <w:noProof/>
                </w:rPr>
                <w:t>.</w:t>
              </w:r>
              <w:r w:rsidRPr="00264176">
                <w:rPr>
                  <w:rStyle w:val="a5"/>
                  <w:rFonts w:ascii="Times New Roman" w:hAnsi="Times New Roman"/>
                  <w:noProof/>
                  <w:lang w:val="en-US"/>
                </w:rPr>
                <w:t>ru</w:t>
              </w:r>
            </w:hyperlink>
            <w:r w:rsidRPr="00264176">
              <w:rPr>
                <w:rFonts w:ascii="Times New Roman" w:hAnsi="Times New Roman"/>
                <w:noProof/>
              </w:rPr>
              <w:t xml:space="preserve">), </w:t>
            </w:r>
            <w:r w:rsidRPr="00264176">
              <w:rPr>
                <w:rFonts w:ascii="Times New Roman" w:hAnsi="Times New Roman"/>
              </w:rPr>
              <w:t xml:space="preserve">и электронной площадке Сбербанк-АСТ </w:t>
            </w:r>
            <w:hyperlink r:id="rId10" w:history="1">
              <w:r w:rsidRPr="00264176">
                <w:rPr>
                  <w:rStyle w:val="a5"/>
                  <w:rFonts w:ascii="Times New Roman" w:hAnsi="Times New Roman"/>
                </w:rPr>
                <w:t>http://www.sberbank-ast.ru</w:t>
              </w:r>
            </w:hyperlink>
            <w:r w:rsidRPr="00264176">
              <w:rPr>
                <w:rFonts w:ascii="Times New Roman" w:hAnsi="Times New Roman"/>
                <w:noProof/>
              </w:rPr>
              <w:t>.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lastRenderedPageBreak/>
              <w:t>Ограничения участия отдельных категорий физических и юридических лиц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Порядок определения победителя аукциона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  <w:snapToGrid w:val="0"/>
              </w:rPr>
              <w:t>Определение участников аукциона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 xml:space="preserve">Рассмотрение заявок и документов претендентов на участие в аукционе </w:t>
            </w:r>
            <w:r w:rsidRPr="00264176">
              <w:rPr>
                <w:rFonts w:ascii="Times New Roman" w:hAnsi="Times New Roman"/>
                <w:b/>
              </w:rPr>
              <w:t>состоится 21 апреля 2023 г. в 10.00 часов (по московскому времени)</w:t>
            </w:r>
            <w:r w:rsidRPr="00264176">
              <w:rPr>
                <w:rFonts w:ascii="Times New Roman" w:hAnsi="Times New Roman"/>
              </w:rPr>
              <w:t xml:space="preserve"> по адресу: Саратовская область, Питерский </w:t>
            </w:r>
            <w:proofErr w:type="gramStart"/>
            <w:r w:rsidRPr="00264176">
              <w:rPr>
                <w:rFonts w:ascii="Times New Roman" w:hAnsi="Times New Roman"/>
              </w:rPr>
              <w:t xml:space="preserve">район,   </w:t>
            </w:r>
            <w:proofErr w:type="gramEnd"/>
            <w:r w:rsidRPr="00264176">
              <w:rPr>
                <w:rFonts w:ascii="Times New Roman" w:hAnsi="Times New Roman"/>
              </w:rPr>
              <w:t xml:space="preserve">          с. Питерка, ул. Ленина, д. 101, кабинет первого заместителя главы администрации Питерского муниципального района.</w:t>
            </w:r>
          </w:p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Срок отказа от проведения аукциона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  <w:bCs/>
              </w:rPr>
            </w:pPr>
            <w:r w:rsidRPr="00264176">
              <w:rPr>
                <w:rFonts w:ascii="Times New Roman" w:hAnsi="Times New Roman"/>
                <w:bCs/>
              </w:rPr>
              <w:t>В течение трех дней со дня принятия решения об отказе в проведении аукциона (п. 24 ст. 39.11 ЗК РФ)</w:t>
            </w:r>
          </w:p>
        </w:tc>
      </w:tr>
      <w:tr w:rsidR="0013174E" w:rsidRPr="00264176" w:rsidTr="006A48B5">
        <w:tc>
          <w:tcPr>
            <w:tcW w:w="4820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264176">
              <w:rPr>
                <w:rFonts w:ascii="Times New Roman" w:hAnsi="Times New Roman"/>
                <w:b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4536" w:type="dxa"/>
            <w:shd w:val="clear" w:color="auto" w:fill="auto"/>
          </w:tcPr>
          <w:p w:rsidR="0013174E" w:rsidRPr="00264176" w:rsidRDefault="0013174E" w:rsidP="006A48B5">
            <w:pPr>
              <w:spacing w:after="0" w:line="0" w:lineRule="atLeast"/>
              <w:jc w:val="both"/>
              <w:rPr>
                <w:rFonts w:ascii="Times New Roman" w:hAnsi="Times New Roman"/>
              </w:rPr>
            </w:pPr>
            <w:r w:rsidRPr="00264176">
              <w:rPr>
                <w:rFonts w:ascii="Times New Roman" w:hAnsi="Times New Roman"/>
                <w:bCs/>
              </w:rPr>
              <w:t>Имущество выставляется впервые</w:t>
            </w:r>
            <w:r w:rsidRPr="00264176">
              <w:rPr>
                <w:rFonts w:ascii="Times New Roman" w:hAnsi="Times New Roman"/>
              </w:rPr>
              <w:t>.</w:t>
            </w:r>
          </w:p>
        </w:tc>
      </w:tr>
    </w:tbl>
    <w:p w:rsidR="0013174E" w:rsidRPr="00264176" w:rsidRDefault="0013174E" w:rsidP="0013174E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Технические условия подключения (технологического присоединения) по Лоту № 1:</w:t>
      </w:r>
    </w:p>
    <w:p w:rsidR="0013174E" w:rsidRPr="00264176" w:rsidRDefault="0013174E" w:rsidP="0013174E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Электроснабжение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13174E" w:rsidRPr="00264176" w:rsidTr="006A48B5">
        <w:trPr>
          <w:trHeight w:val="2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Электроснабжение возможно от существующей ВЛ-0,4кВ КТП №96, 160/10кВа, ф1021 </w:t>
            </w:r>
            <w:proofErr w:type="spellStart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р.п.Питерка</w:t>
            </w:r>
            <w:proofErr w:type="spellEnd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, филиал «</w:t>
            </w:r>
            <w:proofErr w:type="spellStart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Новоузенские</w:t>
            </w:r>
            <w:proofErr w:type="spellEnd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 МЭС» Питерское отделение АО «</w:t>
            </w:r>
            <w:proofErr w:type="spellStart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Облкоммунэнерго</w:t>
            </w:r>
            <w:proofErr w:type="spellEnd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13174E" w:rsidRPr="00264176" w:rsidTr="006A48B5">
        <w:trPr>
          <w:trHeight w:val="2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60 Квт</w:t>
            </w:r>
          </w:p>
        </w:tc>
      </w:tr>
      <w:tr w:rsidR="0013174E" w:rsidRPr="00264176" w:rsidTr="006A48B5">
        <w:trPr>
          <w:trHeight w:val="2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10 Квт</w:t>
            </w:r>
          </w:p>
        </w:tc>
      </w:tr>
      <w:tr w:rsidR="0013174E" w:rsidRPr="00264176" w:rsidTr="006A48B5">
        <w:trPr>
          <w:trHeight w:val="2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Определяются </w:t>
            </w:r>
            <w:proofErr w:type="gramStart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договором  об</w:t>
            </w:r>
            <w:proofErr w:type="gramEnd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осуществлении ТП к электрическим сетям, заключаемым между сетевой организацией и заявителем на основании заявки с приложением необходимого комплекта документов, но не более 6 месяцев с даты заключения договора со стороны сетевой организации при отсутствии дополнительного соглашения к договору</w:t>
            </w:r>
          </w:p>
        </w:tc>
      </w:tr>
      <w:tr w:rsidR="0013174E" w:rsidRPr="00264176" w:rsidTr="006A48B5">
        <w:trPr>
          <w:trHeight w:val="2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 действия технических условий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2 года со дня заключения договора об осуществлении технологического присоединения к электрическим сетям АО «</w:t>
            </w:r>
            <w:proofErr w:type="spellStart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Облкоммунэнерго</w:t>
            </w:r>
            <w:proofErr w:type="spellEnd"/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», с возможностью продления срока действия технических условий на основании письменного обращения заявителя</w:t>
            </w:r>
          </w:p>
        </w:tc>
      </w:tr>
      <w:tr w:rsidR="0013174E" w:rsidRPr="00264176" w:rsidTr="006A48B5">
        <w:trPr>
          <w:trHeight w:val="271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 1 июля 2022 г., плата за подключение к электросетям стала зависеть от мощности и установлена в размере 3000 руб. за 1кВт согласно Постановлению Правительства РФ № 1178 от 30.03.2022 г</w:t>
            </w:r>
          </w:p>
        </w:tc>
      </w:tr>
    </w:tbl>
    <w:p w:rsidR="0013174E" w:rsidRPr="00264176" w:rsidRDefault="0013174E" w:rsidP="0013174E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Газоснабжение: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386"/>
      </w:tblGrid>
      <w:tr w:rsidR="0013174E" w:rsidRPr="00264176" w:rsidTr="006A48B5">
        <w:trPr>
          <w:trHeight w:val="1365"/>
        </w:trPr>
        <w:tc>
          <w:tcPr>
            <w:tcW w:w="4253" w:type="dxa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5386" w:type="dxa"/>
          </w:tcPr>
          <w:p w:rsidR="0013174E" w:rsidRPr="00264176" w:rsidRDefault="0013174E" w:rsidP="006A48B5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174E" w:rsidRPr="00264176" w:rsidRDefault="0013174E" w:rsidP="006A48B5">
            <w:pPr>
              <w:pStyle w:val="a3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174E" w:rsidRPr="00264176" w:rsidRDefault="0013174E" w:rsidP="006A48B5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174E" w:rsidRPr="00264176" w:rsidRDefault="0013174E" w:rsidP="006A48B5">
            <w:pPr>
              <w:pStyle w:val="a3"/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3174E" w:rsidRPr="00264176" w:rsidTr="006A48B5">
        <w:tc>
          <w:tcPr>
            <w:tcW w:w="4253" w:type="dxa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Предельная свободная мощность существующих сетей</w:t>
            </w:r>
          </w:p>
        </w:tc>
        <w:tc>
          <w:tcPr>
            <w:tcW w:w="5386" w:type="dxa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до 20 м</w:t>
            </w:r>
            <w:r w:rsidRPr="002641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13174E" w:rsidRPr="00264176" w:rsidTr="006A48B5">
        <w:tc>
          <w:tcPr>
            <w:tcW w:w="4253" w:type="dxa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3174E" w:rsidRPr="00264176" w:rsidRDefault="0013174E" w:rsidP="006A48B5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От надземного газопровода низкого давления </w:t>
            </w:r>
            <w:r w:rsidRPr="0026417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>= 89 х3,5 мм по ул. Рабочая</w:t>
            </w:r>
          </w:p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до 20 м</w:t>
            </w:r>
            <w:r w:rsidRPr="0026417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</w:tr>
      <w:tr w:rsidR="0013174E" w:rsidRPr="00264176" w:rsidTr="006A48B5">
        <w:tc>
          <w:tcPr>
            <w:tcW w:w="4253" w:type="dxa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5386" w:type="dxa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3174E" w:rsidRPr="00264176" w:rsidTr="006A48B5">
        <w:tc>
          <w:tcPr>
            <w:tcW w:w="4253" w:type="dxa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Срок действия технических условий</w:t>
            </w:r>
          </w:p>
        </w:tc>
        <w:tc>
          <w:tcPr>
            <w:tcW w:w="5386" w:type="dxa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>Три года со дня выдачи</w:t>
            </w:r>
          </w:p>
        </w:tc>
      </w:tr>
      <w:tr w:rsidR="0013174E" w:rsidRPr="00264176" w:rsidTr="006A48B5">
        <w:tc>
          <w:tcPr>
            <w:tcW w:w="4253" w:type="dxa"/>
          </w:tcPr>
          <w:p w:rsidR="0013174E" w:rsidRPr="00264176" w:rsidRDefault="0013174E" w:rsidP="006A48B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bCs/>
                <w:sz w:val="24"/>
                <w:szCs w:val="24"/>
              </w:rPr>
              <w:t xml:space="preserve">Плата за подключение технологического присоединения к сетям инженерно-технического обеспечения </w:t>
            </w:r>
          </w:p>
        </w:tc>
        <w:tc>
          <w:tcPr>
            <w:tcW w:w="5386" w:type="dxa"/>
          </w:tcPr>
          <w:p w:rsidR="0013174E" w:rsidRPr="00264176" w:rsidRDefault="0013174E" w:rsidP="006A48B5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Стоимость технологического присоединения к сети газоснабжения установлена в Постановление Правительства РФ от 30.11.2022 г. N 2187 и Постановлением Комитета государственного регулирования тарифов от 15.12.2022 г. №58/3 «Об установлении платы за технологическое присоединение газоиспользующего оборудования к газораспределительным сетям АО «Газпром газораспределение Саратовская область»</w:t>
            </w:r>
          </w:p>
        </w:tc>
      </w:tr>
    </w:tbl>
    <w:p w:rsidR="0013174E" w:rsidRPr="00264176" w:rsidRDefault="0013174E" w:rsidP="0013174E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Водоснабжение:</w:t>
      </w:r>
    </w:p>
    <w:p w:rsidR="0013174E" w:rsidRPr="00264176" w:rsidRDefault="0013174E" w:rsidP="0013174E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64176">
        <w:rPr>
          <w:rFonts w:ascii="Times New Roman" w:eastAsia="Calibri" w:hAnsi="Times New Roman"/>
          <w:sz w:val="24"/>
          <w:szCs w:val="24"/>
          <w:lang w:eastAsia="en-US"/>
        </w:rPr>
        <w:t>Возможность подключения объекта к центральному водоснабжению имеется.</w:t>
      </w:r>
    </w:p>
    <w:p w:rsidR="0013174E" w:rsidRPr="00264176" w:rsidRDefault="0013174E" w:rsidP="0013174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264176">
        <w:rPr>
          <w:rFonts w:ascii="Times New Roman" w:hAnsi="Times New Roman"/>
          <w:bCs/>
          <w:sz w:val="24"/>
          <w:szCs w:val="24"/>
        </w:rPr>
        <w:t xml:space="preserve">Информация о максимально и (или) минимально допустимых параметрах разрешенного строительства объекта. Согласно Правилам землепользования и застройки </w:t>
      </w:r>
      <w:proofErr w:type="spellStart"/>
      <w:r w:rsidRPr="00264176">
        <w:rPr>
          <w:rFonts w:ascii="Times New Roman" w:hAnsi="Times New Roman"/>
          <w:bCs/>
          <w:sz w:val="24"/>
          <w:szCs w:val="24"/>
        </w:rPr>
        <w:t>Агафоновского</w:t>
      </w:r>
      <w:proofErr w:type="spellEnd"/>
      <w:r w:rsidRPr="00264176">
        <w:rPr>
          <w:rFonts w:ascii="Times New Roman" w:hAnsi="Times New Roman"/>
          <w:bCs/>
          <w:sz w:val="24"/>
          <w:szCs w:val="24"/>
        </w:rPr>
        <w:t xml:space="preserve"> муниципального образования Питерского муниципального района Саратовской области земельный участок расположен в территориальной зоне Р-1 (Зона зеленных насаждений общего пользования).  </w:t>
      </w:r>
    </w:p>
    <w:p w:rsidR="0013174E" w:rsidRPr="00264176" w:rsidRDefault="0013174E" w:rsidP="0013174E">
      <w:pPr>
        <w:pStyle w:val="a3"/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>Параметры застройки уточняются проектом планировки территории.</w:t>
      </w:r>
    </w:p>
    <w:p w:rsidR="0013174E" w:rsidRPr="00264176" w:rsidRDefault="0013174E" w:rsidP="0013174E">
      <w:pPr>
        <w:pStyle w:val="a3"/>
        <w:rPr>
          <w:rFonts w:ascii="Times New Roman" w:hAnsi="Times New Roman"/>
          <w:sz w:val="24"/>
          <w:szCs w:val="24"/>
        </w:rPr>
      </w:pPr>
    </w:p>
    <w:p w:rsidR="0013174E" w:rsidRPr="00264176" w:rsidRDefault="0013174E" w:rsidP="0013174E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Технические условия подключения (технологического присоединения) по Лоту № 2:</w:t>
      </w:r>
    </w:p>
    <w:p w:rsidR="0013174E" w:rsidRPr="00264176" w:rsidRDefault="0013174E" w:rsidP="0013174E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Электроснабжение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961"/>
      </w:tblGrid>
      <w:tr w:rsidR="0013174E" w:rsidRPr="00264176" w:rsidTr="006A48B5">
        <w:tc>
          <w:tcPr>
            <w:tcW w:w="4849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в том числе:</w:t>
            </w:r>
          </w:p>
        </w:tc>
        <w:tc>
          <w:tcPr>
            <w:tcW w:w="4961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Возможно подключение к электрическим сетям Приволжского ПО Питерского РЭС. от ВЛ-0,4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Л-1, Л-2 от КТП 39 «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Шлягин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» по ВЛ-10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Л-9 от ПС 110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Малый Узень.</w:t>
            </w:r>
          </w:p>
        </w:tc>
      </w:tr>
      <w:tr w:rsidR="0013174E" w:rsidRPr="00264176" w:rsidTr="006A48B5">
        <w:tc>
          <w:tcPr>
            <w:tcW w:w="4849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Предельная свободная мощность существующих сетей</w:t>
            </w:r>
          </w:p>
        </w:tc>
        <w:tc>
          <w:tcPr>
            <w:tcW w:w="4961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Определяется параметрами электрической сети запрашиваемого класса напряжения, указываемого в заявке на технологическое присоединение.</w:t>
            </w:r>
          </w:p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Класс напряжения- 0,4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– 60 (кВт).</w:t>
            </w:r>
          </w:p>
        </w:tc>
      </w:tr>
      <w:tr w:rsidR="0013174E" w:rsidRPr="00264176" w:rsidTr="006A48B5">
        <w:tc>
          <w:tcPr>
            <w:tcW w:w="4849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Максимальная нагрузка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Определяется перечнем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 Заявителя и указывается им в заявке на технологическое присоединение.   </w:t>
            </w:r>
            <w:r w:rsidRPr="00264176">
              <w:rPr>
                <w:rFonts w:ascii="Times New Roman" w:hAnsi="Times New Roman"/>
                <w:sz w:val="24"/>
                <w:szCs w:val="24"/>
                <w:lang w:val="en-US"/>
              </w:rPr>
              <w:t>Imax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>-100 (</w:t>
            </w:r>
            <w:r w:rsidRPr="00264176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641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3174E" w:rsidRPr="00264176" w:rsidTr="006A48B5">
        <w:trPr>
          <w:trHeight w:val="352"/>
        </w:trPr>
        <w:tc>
          <w:tcPr>
            <w:tcW w:w="4849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Сроки подключения объекта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3174E" w:rsidRPr="00264176" w:rsidRDefault="0013174E" w:rsidP="006A48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Срок осуществления мероприятий по технологическому присоединению исчисляется со дня заключения договора и не может превышать:</w:t>
            </w:r>
          </w:p>
          <w:p w:rsidR="0013174E" w:rsidRPr="00264176" w:rsidRDefault="0013174E" w:rsidP="006A48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а) 30 рабочих дней - для заявителей, указанных в пунктах 12 1 и 14 настоящих </w:t>
            </w:r>
            <w:r w:rsidRPr="00264176">
              <w:rPr>
                <w:rFonts w:ascii="Times New Roman" w:hAnsi="Times New Roman"/>
                <w:sz w:val="24"/>
                <w:szCs w:val="24"/>
              </w:rPr>
              <w:lastRenderedPageBreak/>
              <w:t>Правил, при одновременном соблюдении следующих условий:</w:t>
            </w:r>
          </w:p>
          <w:p w:rsidR="0013174E" w:rsidRPr="00264176" w:rsidRDefault="0013174E" w:rsidP="006A48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 заявителя осуществляется к электрическим сетям классом напряжения 0,4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и ниже;</w:t>
            </w:r>
          </w:p>
          <w:p w:rsidR="0013174E" w:rsidRPr="00264176" w:rsidRDefault="0013174E" w:rsidP="006A48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энергопринимающие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устройства, составляет не более 15 метров;</w:t>
            </w:r>
          </w:p>
          <w:p w:rsidR="0013174E" w:rsidRPr="00264176" w:rsidRDefault="0013174E" w:rsidP="006A48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 заявителя, и земельным участком заявителя;</w:t>
            </w:r>
          </w:p>
          <w:p w:rsidR="0013174E" w:rsidRPr="00264176" w:rsidRDefault="0013174E" w:rsidP="006A48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устройств, а также по обеспечению коммерческого учета электрической энергии (мощности); б) 4 месяца - для заявителей, максимальная мощность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энергопринимающие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</w:t>
            </w:r>
            <w:r w:rsidRPr="00264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 и (или) объектов электроэнергетики;</w:t>
            </w:r>
          </w:p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в) 6 месяцев - для заявителей, указанных в пунктах 12.1, 14 и 34 «Правил технологического присоединения…»,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энергопринимающие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местности.</w:t>
            </w:r>
          </w:p>
        </w:tc>
      </w:tr>
      <w:tr w:rsidR="0013174E" w:rsidRPr="00264176" w:rsidTr="006A48B5">
        <w:tc>
          <w:tcPr>
            <w:tcW w:w="4849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lastRenderedPageBreak/>
              <w:t>Срок действия технических условий</w:t>
            </w:r>
          </w:p>
        </w:tc>
        <w:tc>
          <w:tcPr>
            <w:tcW w:w="4961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Срок действия технических условий не может составлять менее 2 лет и более 5 лет.</w:t>
            </w:r>
          </w:p>
        </w:tc>
      </w:tr>
      <w:tr w:rsidR="0013174E" w:rsidRPr="00264176" w:rsidTr="006A48B5">
        <w:tc>
          <w:tcPr>
            <w:tcW w:w="4849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>Плата за подключение* (технологическое присоединение) к сетям инженерно-технического обеспечения</w:t>
            </w:r>
          </w:p>
        </w:tc>
        <w:tc>
          <w:tcPr>
            <w:tcW w:w="4961" w:type="dxa"/>
            <w:shd w:val="clear" w:color="auto" w:fill="auto"/>
          </w:tcPr>
          <w:p w:rsidR="0013174E" w:rsidRPr="00264176" w:rsidRDefault="0013174E" w:rsidP="006A48B5">
            <w:pPr>
              <w:rPr>
                <w:rFonts w:ascii="Times New Roman" w:hAnsi="Times New Roman"/>
                <w:sz w:val="24"/>
                <w:szCs w:val="24"/>
              </w:rPr>
            </w:pPr>
            <w:r w:rsidRPr="00264176">
              <w:rPr>
                <w:rFonts w:ascii="Times New Roman" w:hAnsi="Times New Roman"/>
                <w:sz w:val="24"/>
                <w:szCs w:val="24"/>
              </w:rPr>
              <w:t xml:space="preserve">Плата за технологическое присоединение </w:t>
            </w:r>
            <w:proofErr w:type="spellStart"/>
            <w:r w:rsidRPr="00264176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264176">
              <w:rPr>
                <w:rFonts w:ascii="Times New Roman" w:hAnsi="Times New Roman"/>
                <w:sz w:val="24"/>
                <w:szCs w:val="24"/>
              </w:rPr>
              <w:t xml:space="preserve"> устройств определяется Постановлениями комитета государственного регулирования тарифов Саратовской области 55/2 от 29.11.2022 г. и 55/1 от 29.11.2022 г.</w:t>
            </w:r>
          </w:p>
        </w:tc>
      </w:tr>
    </w:tbl>
    <w:p w:rsidR="0013174E" w:rsidRPr="00264176" w:rsidRDefault="0013174E" w:rsidP="0013174E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64176">
        <w:rPr>
          <w:rFonts w:ascii="Times New Roman" w:hAnsi="Times New Roman"/>
          <w:b/>
          <w:bCs/>
          <w:sz w:val="24"/>
          <w:szCs w:val="24"/>
        </w:rPr>
        <w:t>Газоснабжение:</w:t>
      </w:r>
    </w:p>
    <w:p w:rsidR="0013174E" w:rsidRPr="00264176" w:rsidRDefault="0013174E" w:rsidP="0013174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 xml:space="preserve">Техническая возможность подключения к системе газоснабжения объекта строительства (Земельный участок) по адресу Саратовская область, Питерский район, территория Нивского муниципального образования, х. </w:t>
      </w:r>
      <w:proofErr w:type="spellStart"/>
      <w:r w:rsidRPr="00264176">
        <w:rPr>
          <w:rFonts w:ascii="Times New Roman" w:hAnsi="Times New Roman"/>
          <w:sz w:val="24"/>
          <w:szCs w:val="24"/>
        </w:rPr>
        <w:t>Шлягин</w:t>
      </w:r>
      <w:proofErr w:type="spellEnd"/>
      <w:r w:rsidRPr="00264176">
        <w:rPr>
          <w:rFonts w:ascii="Times New Roman" w:hAnsi="Times New Roman"/>
          <w:sz w:val="24"/>
          <w:szCs w:val="24"/>
        </w:rPr>
        <w:t>, участок 2 отсутствует. Населенный пункт не газифицирован.</w:t>
      </w:r>
    </w:p>
    <w:p w:rsidR="0013174E" w:rsidRPr="00264176" w:rsidRDefault="0013174E" w:rsidP="0013174E">
      <w:pPr>
        <w:pStyle w:val="a4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>По вопросам газоснабжения необходимо обратиться либо владельцу объекта, либо лицу, уполномоченному от его имени в филиал АО «Газпром газораспределение Саратовская область» в р. п. Степное, который находится по адресу: 413210 Саратовская область Советский район р. п. Степное ул. 50-лет Победы дом 49.</w:t>
      </w:r>
    </w:p>
    <w:p w:rsidR="0013174E" w:rsidRPr="00264176" w:rsidRDefault="0013174E" w:rsidP="0013174E">
      <w:pPr>
        <w:pStyle w:val="a3"/>
        <w:rPr>
          <w:rFonts w:ascii="Times New Roman" w:hAnsi="Times New Roman"/>
          <w:sz w:val="24"/>
          <w:szCs w:val="24"/>
        </w:rPr>
      </w:pPr>
      <w:r w:rsidRPr="00264176">
        <w:rPr>
          <w:rFonts w:ascii="Times New Roman" w:hAnsi="Times New Roman"/>
          <w:sz w:val="24"/>
          <w:szCs w:val="24"/>
        </w:rPr>
        <w:t>Параметры застройки уточняются проектом планировки территории.</w:t>
      </w:r>
    </w:p>
    <w:p w:rsidR="0013174E" w:rsidRPr="00264176" w:rsidRDefault="0013174E" w:rsidP="0013174E">
      <w:pPr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13174E" w:rsidRPr="00264176" w:rsidRDefault="0013174E" w:rsidP="0013174E">
      <w:pPr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13174E" w:rsidRPr="00264176" w:rsidRDefault="0013174E" w:rsidP="0013174E">
      <w:pPr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13174E" w:rsidRPr="00264176" w:rsidRDefault="0013174E" w:rsidP="0013174E">
      <w:pPr>
        <w:ind w:firstLine="708"/>
        <w:jc w:val="both"/>
        <w:rPr>
          <w:rFonts w:ascii="Times New Roman" w:eastAsia="TimesNewRomanPSMT" w:hAnsi="Times New Roman"/>
          <w:b/>
          <w:sz w:val="28"/>
          <w:szCs w:val="28"/>
        </w:rPr>
      </w:pPr>
    </w:p>
    <w:p w:rsidR="0013174E" w:rsidRPr="00264176" w:rsidRDefault="0013174E" w:rsidP="0013174E">
      <w:pPr>
        <w:jc w:val="center"/>
        <w:rPr>
          <w:rFonts w:ascii="Times New Roman" w:eastAsia="TimesNewRomanPSMT" w:hAnsi="Times New Roman"/>
          <w:b/>
          <w:sz w:val="28"/>
          <w:szCs w:val="28"/>
        </w:rPr>
      </w:pPr>
      <w:r w:rsidRPr="00264176">
        <w:rPr>
          <w:rFonts w:ascii="Times New Roman" w:eastAsia="TimesNewRomanPSMT" w:hAnsi="Times New Roman"/>
          <w:b/>
          <w:sz w:val="28"/>
          <w:szCs w:val="28"/>
        </w:rPr>
        <w:t>Порядок проведения аукциона в электронной форме</w:t>
      </w: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 бы более высокую цену аукциона.</w:t>
      </w: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  <w:r w:rsidRPr="00264176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Pr="00264176" w:rsidRDefault="0013174E" w:rsidP="0013174E">
      <w:pPr>
        <w:spacing w:after="0" w:line="0" w:lineRule="atLeast"/>
        <w:ind w:firstLine="720"/>
        <w:jc w:val="both"/>
        <w:rPr>
          <w:rFonts w:ascii="Times New Roman" w:eastAsia="TimesNewRomanPSMT" w:hAnsi="Times New Roman"/>
          <w:sz w:val="28"/>
          <w:szCs w:val="28"/>
        </w:rPr>
      </w:pPr>
    </w:p>
    <w:p w:rsidR="0013174E" w:rsidRDefault="0013174E" w:rsidP="0013174E">
      <w:pPr>
        <w:pStyle w:val="a3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174E" w:rsidRPr="0075640F" w:rsidRDefault="0013174E" w:rsidP="0013174E"/>
    <w:p w:rsidR="0013174E" w:rsidRPr="00CD1181" w:rsidRDefault="0013174E" w:rsidP="0013174E">
      <w:pPr>
        <w:autoSpaceDE w:val="0"/>
        <w:autoSpaceDN w:val="0"/>
        <w:adjustRightInd w:val="0"/>
        <w:spacing w:before="108" w:after="108" w:line="240" w:lineRule="auto"/>
        <w:jc w:val="center"/>
        <w:outlineLvl w:val="0"/>
      </w:pPr>
    </w:p>
    <w:p w:rsidR="0013174E" w:rsidRDefault="0013174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3174E" w:rsidRDefault="0013174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3174E" w:rsidRDefault="0013174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3174E" w:rsidRDefault="0013174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CC4FAE" w:rsidRDefault="00CC4FA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</w:p>
    <w:p w:rsidR="0013174E" w:rsidRDefault="0013174E" w:rsidP="0013174E">
      <w:pPr>
        <w:tabs>
          <w:tab w:val="left" w:pos="1875"/>
        </w:tabs>
        <w:spacing w:after="0"/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13174E" w:rsidSect="00E3375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>
    <w:nsid w:val="351A551D"/>
    <w:multiLevelType w:val="hybridMultilevel"/>
    <w:tmpl w:val="E9785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1A"/>
    <w:rsid w:val="0013174E"/>
    <w:rsid w:val="006E01C4"/>
    <w:rsid w:val="009221BB"/>
    <w:rsid w:val="00B7241A"/>
    <w:rsid w:val="00CC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FA43E-EBB6-4439-B510-BF52504B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74E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74E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a3">
    <w:name w:val="No Spacing"/>
    <w:uiPriority w:val="1"/>
    <w:qFormat/>
    <w:rsid w:val="001317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3174E"/>
    <w:pPr>
      <w:ind w:left="720"/>
      <w:contextualSpacing/>
    </w:pPr>
  </w:style>
  <w:style w:type="character" w:styleId="a5">
    <w:name w:val="Hyperlink"/>
    <w:uiPriority w:val="99"/>
    <w:unhideWhenUsed/>
    <w:rsid w:val="0013174E"/>
    <w:rPr>
      <w:color w:val="0000FF"/>
      <w:u w:val="single"/>
    </w:rPr>
  </w:style>
  <w:style w:type="paragraph" w:styleId="a6">
    <w:name w:val="Body Text"/>
    <w:basedOn w:val="a"/>
    <w:link w:val="a7"/>
    <w:rsid w:val="0013174E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rsid w:val="00131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Body Text Indent"/>
    <w:basedOn w:val="a"/>
    <w:link w:val="a9"/>
    <w:rsid w:val="0013174E"/>
    <w:pPr>
      <w:spacing w:after="120" w:line="24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13174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a">
    <w:basedOn w:val="a"/>
    <w:next w:val="ab"/>
    <w:link w:val="ac"/>
    <w:qFormat/>
    <w:rsid w:val="0013174E"/>
    <w:pPr>
      <w:spacing w:after="0" w:line="240" w:lineRule="auto"/>
      <w:jc w:val="center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c">
    <w:name w:val="Заголовок Знак"/>
    <w:link w:val="aa"/>
    <w:rsid w:val="0013174E"/>
    <w:rPr>
      <w:rFonts w:ascii="Times New Roman" w:hAnsi="Times New Roman"/>
      <w:sz w:val="24"/>
    </w:rPr>
  </w:style>
  <w:style w:type="character" w:customStyle="1" w:styleId="-">
    <w:name w:val="Интернет-ссылка"/>
    <w:uiPriority w:val="99"/>
    <w:unhideWhenUsed/>
    <w:rsid w:val="0013174E"/>
    <w:rPr>
      <w:color w:val="0000FF"/>
      <w:u w:val="single"/>
    </w:rPr>
  </w:style>
  <w:style w:type="paragraph" w:styleId="ab">
    <w:name w:val="Title"/>
    <w:basedOn w:val="a"/>
    <w:next w:val="a"/>
    <w:link w:val="ad"/>
    <w:uiPriority w:val="10"/>
    <w:qFormat/>
    <w:rsid w:val="00131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b"/>
    <w:uiPriority w:val="10"/>
    <w:rsid w:val="0013174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berbank-as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berbank-ast.ru/" TargetMode="External"/><Relationship Id="rId10" Type="http://schemas.openxmlformats.org/officeDocument/2006/relationships/hyperlink" Target="http://www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2023-03-14T12:58:00Z</dcterms:created>
  <dcterms:modified xsi:type="dcterms:W3CDTF">2023-03-14T13:09:00Z</dcterms:modified>
</cp:coreProperties>
</file>